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西安财经学院研究生教育教学改革项目</w:t>
      </w:r>
      <w:r>
        <w:rPr>
          <w:rFonts w:hint="eastAsia" w:ascii="黑体" w:eastAsia="黑体"/>
          <w:sz w:val="32"/>
          <w:szCs w:val="32"/>
          <w:lang w:val="en-US" w:eastAsia="zh-CN"/>
        </w:rPr>
        <w:t>2018年</w:t>
      </w:r>
      <w:r>
        <w:rPr>
          <w:rFonts w:hint="eastAsia" w:ascii="黑体" w:eastAsia="黑体"/>
          <w:sz w:val="32"/>
          <w:szCs w:val="32"/>
        </w:rPr>
        <w:t>选题指南</w:t>
      </w:r>
    </w:p>
    <w:p>
      <w:pPr>
        <w:widowControl/>
        <w:spacing w:line="520" w:lineRule="exact"/>
        <w:rPr>
          <w:rFonts w:hint="eastAsia" w:ascii="仿宋_GB2312" w:eastAsia="仿宋_GB2312"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1．学术学位</w:t>
      </w:r>
      <w:r>
        <w:rPr>
          <w:rFonts w:ascii="仿宋_GB2312" w:hAnsi="宋体" w:eastAsia="仿宋_GB2312"/>
          <w:b/>
          <w:bCs/>
          <w:sz w:val="30"/>
          <w:szCs w:val="30"/>
        </w:rPr>
        <w:t>研究生课程建设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1.1研究生课程体系设计与优化机制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示范性课程建设</w:t>
      </w:r>
      <w:r>
        <w:rPr>
          <w:rFonts w:hint="eastAsia" w:ascii="仿宋_GB2312" w:eastAsia="仿宋_GB2312"/>
          <w:sz w:val="30"/>
          <w:szCs w:val="30"/>
        </w:rPr>
        <w:t>与实践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1.3</w:t>
      </w:r>
      <w:r>
        <w:rPr>
          <w:rFonts w:ascii="仿宋_GB2312" w:eastAsia="仿宋_GB2312"/>
          <w:sz w:val="30"/>
          <w:szCs w:val="30"/>
        </w:rPr>
        <w:t>研究生</w:t>
      </w:r>
      <w:r>
        <w:rPr>
          <w:rFonts w:hint="eastAsia" w:ascii="仿宋_GB2312" w:eastAsia="仿宋_GB2312"/>
          <w:sz w:val="30"/>
          <w:szCs w:val="30"/>
        </w:rPr>
        <w:t>网络公开</w:t>
      </w:r>
      <w:r>
        <w:rPr>
          <w:rFonts w:ascii="仿宋_GB2312" w:eastAsia="仿宋_GB2312"/>
          <w:sz w:val="30"/>
          <w:szCs w:val="30"/>
        </w:rPr>
        <w:t>课建设</w:t>
      </w:r>
      <w:r>
        <w:rPr>
          <w:rFonts w:hint="eastAsia" w:ascii="仿宋_GB2312" w:eastAsia="仿宋_GB2312"/>
          <w:sz w:val="30"/>
          <w:szCs w:val="30"/>
        </w:rPr>
        <w:t>与实践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1.4研究生核心课程教材建设</w:t>
      </w:r>
    </w:p>
    <w:p>
      <w:pPr>
        <w:widowControl/>
        <w:spacing w:line="520" w:lineRule="exac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2.专业学位硕士研究生培养模式研究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bookmarkStart w:id="0" w:name="_Toc227497594"/>
      <w:r>
        <w:rPr>
          <w:rFonts w:hint="eastAsia" w:ascii="仿宋_GB2312" w:eastAsia="仿宋_GB2312"/>
          <w:sz w:val="30"/>
          <w:szCs w:val="30"/>
        </w:rPr>
        <w:t>2.1培养及授位标准研究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2专业</w:t>
      </w:r>
      <w:r>
        <w:rPr>
          <w:rFonts w:ascii="仿宋_GB2312" w:eastAsia="仿宋_GB2312"/>
          <w:sz w:val="30"/>
          <w:szCs w:val="30"/>
        </w:rPr>
        <w:t>实践模式与考核体系研究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特色化教材、教学案例库建设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与职业（行业）</w:t>
      </w:r>
      <w:r>
        <w:rPr>
          <w:rFonts w:hint="eastAsia" w:ascii="仿宋_GB2312" w:eastAsia="仿宋_GB2312"/>
          <w:sz w:val="30"/>
          <w:szCs w:val="30"/>
        </w:rPr>
        <w:t>需求</w:t>
      </w:r>
      <w:r>
        <w:rPr>
          <w:rFonts w:ascii="仿宋_GB2312" w:eastAsia="仿宋_GB2312"/>
          <w:sz w:val="30"/>
          <w:szCs w:val="30"/>
        </w:rPr>
        <w:t>相衔接的教学内容探索</w:t>
      </w:r>
    </w:p>
    <w:bookmarkEnd w:id="0"/>
    <w:p>
      <w:pPr>
        <w:widowControl/>
        <w:spacing w:line="520" w:lineRule="exact"/>
        <w:rPr>
          <w:rFonts w:ascii="仿宋_GB2312" w:hAnsi="宋体" w:eastAsia="仿宋_GB2312"/>
          <w:b/>
          <w:bCs/>
          <w:sz w:val="30"/>
          <w:szCs w:val="30"/>
        </w:rPr>
      </w:pPr>
      <w:bookmarkStart w:id="1" w:name="_Toc227497598"/>
      <w:r>
        <w:rPr>
          <w:rFonts w:hint="eastAsia" w:ascii="仿宋_GB2312" w:hAnsi="宋体" w:eastAsia="仿宋_GB2312"/>
          <w:b/>
          <w:bCs/>
          <w:sz w:val="30"/>
          <w:szCs w:val="30"/>
        </w:rPr>
        <w:t>3．培养</w:t>
      </w:r>
      <w:r>
        <w:rPr>
          <w:rFonts w:ascii="仿宋_GB2312" w:hAnsi="宋体" w:eastAsia="仿宋_GB2312"/>
          <w:b/>
          <w:bCs/>
          <w:sz w:val="30"/>
          <w:szCs w:val="30"/>
        </w:rPr>
        <w:t>质量</w:t>
      </w:r>
      <w:bookmarkEnd w:id="1"/>
      <w:r>
        <w:rPr>
          <w:rFonts w:hint="eastAsia" w:ascii="仿宋_GB2312" w:hAnsi="宋体" w:eastAsia="仿宋_GB2312"/>
          <w:b/>
          <w:bCs/>
          <w:sz w:val="30"/>
          <w:szCs w:val="30"/>
        </w:rPr>
        <w:t>保障与提升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3.1课程学习的服务与支持体系研究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3.2课程学习的多样化考核形式研究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3.3“教”与“学”的激励机制研究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学位授权点</w:t>
      </w:r>
      <w:r>
        <w:rPr>
          <w:rFonts w:hint="eastAsia" w:ascii="仿宋_GB2312" w:eastAsia="仿宋_GB2312"/>
          <w:sz w:val="30"/>
          <w:szCs w:val="30"/>
        </w:rPr>
        <w:t>合格</w:t>
      </w:r>
      <w:r>
        <w:rPr>
          <w:rFonts w:ascii="仿宋_GB2312" w:eastAsia="仿宋_GB2312"/>
          <w:sz w:val="30"/>
          <w:szCs w:val="30"/>
        </w:rPr>
        <w:t>评估</w:t>
      </w:r>
      <w:r>
        <w:rPr>
          <w:rFonts w:hint="eastAsia" w:ascii="仿宋_GB2312" w:eastAsia="仿宋_GB2312"/>
          <w:sz w:val="30"/>
          <w:szCs w:val="30"/>
        </w:rPr>
        <w:t>指标体系</w:t>
      </w:r>
      <w:r>
        <w:rPr>
          <w:rFonts w:ascii="仿宋_GB2312" w:eastAsia="仿宋_GB2312"/>
          <w:sz w:val="30"/>
          <w:szCs w:val="30"/>
        </w:rPr>
        <w:t>研究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5研究生</w:t>
      </w:r>
      <w:r>
        <w:rPr>
          <w:rFonts w:ascii="仿宋_GB2312" w:eastAsia="仿宋_GB2312"/>
          <w:sz w:val="30"/>
          <w:szCs w:val="30"/>
        </w:rPr>
        <w:t>培养质量自评估与监控体系研究</w:t>
      </w:r>
    </w:p>
    <w:p>
      <w:pPr>
        <w:widowControl/>
        <w:spacing w:line="520" w:lineRule="exac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４．研究生思想政治教育及日常管理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4.1研究生评优综合评价体系研究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4.2研究生就业指导与服务模式研究</w:t>
      </w:r>
    </w:p>
    <w:p>
      <w:pPr>
        <w:widowControl/>
        <w:spacing w:line="520" w:lineRule="exac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5．其他</w:t>
      </w: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C66DB"/>
    <w:rsid w:val="57FC6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2018-05-23T06:41:00Z</dcterms:created>
  <dc:creator>黑金1421287934</dc:creator>
  <cp:lastModifiedBy>黑金1421287934</cp:lastModifiedBy>
  <dcterms:modified xsi:type="dcterms:W3CDTF">2018-05-23T06:42:54Z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